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等线" w:hAnsi="等线" w:eastAsia="等线" w:cs="等线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等线" w:hAnsi="等线" w:eastAsia="等线" w:cs="等线"/>
          <w:b/>
          <w:bCs/>
          <w:sz w:val="44"/>
          <w:szCs w:val="44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44"/>
          <w:szCs w:val="44"/>
          <w:lang w:val="en-US" w:eastAsia="zh-CN"/>
        </w:rPr>
        <w:t>关于调整相关报销事项的通知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根据本轮巡视要求，为加强财务管理和会计核算，财务处针对巡视提出的一些问题即时整改，除严格遵守现有的财务会计制度之外，对差旅费等费用的报销增加新的要求如下：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.参加会议、培训的差旅费：到常驻地以外参加会议、培训的，会议、培训期间执行会议和培训费的相关制度。往返会议、培训地点发生的城市间交通费、伙食补助费和市内交通费按照差旅费管理办法的规定报销。其中，伙食补助费和市内交通费按往返各1天计发，当天往返的按1天计发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2.学生劳务费及助研费：从科研经费等项目发放给学生的助研费及劳务费，报销时必须提供劳务说明（工作内容、工作天数、报酬标准），收款人必须签名。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财务处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D1319"/>
    <w:rsid w:val="00701C4A"/>
    <w:rsid w:val="0D393154"/>
    <w:rsid w:val="16377B73"/>
    <w:rsid w:val="1DED1319"/>
    <w:rsid w:val="37AC10C4"/>
    <w:rsid w:val="392930E4"/>
    <w:rsid w:val="754F4533"/>
    <w:rsid w:val="7CC1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2021-01-12T05:46:00Z</dcterms:created>
  <dc:creator>Administrator</dc:creator>
  <cp:lastModifiedBy>Administrator</cp:lastModifiedBy>
  <dcterms:modified xsi:type="dcterms:W3CDTF">2021-01-12T08:45:46Z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