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both"/>
        <w:rPr>
          <w:rFonts w:hint="eastAsia" w:asciiTheme="minorEastAsia" w:hAnsiTheme="minorEastAsia" w:eastAsiaTheme="minorEastAsia" w:cstheme="minorEastAsia"/>
          <w:sz w:val="24"/>
          <w:lang w:val="en-US" w:eastAsia="zh-CN"/>
        </w:rPr>
      </w:pPr>
      <w:bookmarkStart w:id="0" w:name="附件1"/>
      <w:r>
        <w:rPr>
          <w:rFonts w:hint="eastAsia" w:asciiTheme="minorEastAsia" w:hAnsiTheme="minorEastAsia" w:cstheme="minorEastAsia"/>
          <w:sz w:val="24"/>
          <w:lang w:val="en-US" w:eastAsia="zh-CN"/>
        </w:rPr>
        <w:t>附件1</w:t>
      </w:r>
      <w:r>
        <w:rPr>
          <w:rFonts w:hint="eastAsia" w:asciiTheme="minorEastAsia" w:hAnsiTheme="minorEastAsia" w:eastAsiaTheme="minorEastAsia" w:cstheme="minorEastAsia"/>
          <w:sz w:val="24"/>
          <w:lang w:val="en-US" w:eastAsia="zh-CN"/>
        </w:rPr>
        <w:t>：</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vertAlign w:val="baseline"/>
          <w:lang w:val="en-US" w:eastAsia="zh-CN"/>
        </w:rPr>
      </w:pPr>
      <w:r>
        <w:rPr>
          <w:rFonts w:hint="eastAsia" w:ascii="方正小标宋_GBK" w:hAnsi="方正小标宋_GBK" w:eastAsia="方正小标宋_GBK" w:cs="方正小标宋_GBK"/>
          <w:sz w:val="32"/>
          <w:szCs w:val="32"/>
          <w:vertAlign w:val="baseline"/>
          <w:lang w:val="en-US" w:eastAsia="zh-CN"/>
        </w:rPr>
        <w:t>泰州市市级网上商城政府采购目录</w:t>
      </w:r>
    </w:p>
    <w:tbl>
      <w:tblPr>
        <w:tblStyle w:val="5"/>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263"/>
        <w:gridCol w:w="3598"/>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99" w:type="dxa"/>
            <w:tcBorders>
              <w:bottom w:val="single" w:color="auto" w:sz="4" w:space="0"/>
            </w:tcBorders>
            <w:vAlign w:val="center"/>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总分类</w:t>
            </w:r>
          </w:p>
        </w:tc>
        <w:tc>
          <w:tcPr>
            <w:tcW w:w="2263" w:type="dxa"/>
            <w:tcBorders>
              <w:bottom w:val="single" w:color="auto" w:sz="4" w:space="0"/>
            </w:tcBorders>
            <w:vAlign w:val="center"/>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一级</w:t>
            </w:r>
          </w:p>
        </w:tc>
        <w:tc>
          <w:tcPr>
            <w:tcW w:w="3598" w:type="dxa"/>
            <w:tcBorders>
              <w:bottom w:val="single" w:color="auto" w:sz="4" w:space="0"/>
            </w:tcBorders>
            <w:vAlign w:val="center"/>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二级</w:t>
            </w:r>
          </w:p>
        </w:tc>
        <w:tc>
          <w:tcPr>
            <w:tcW w:w="2364" w:type="dxa"/>
            <w:vAlign w:val="center"/>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restart"/>
            <w:tcBorders>
              <w:top w:val="single" w:color="auto" w:sz="4" w:space="0"/>
              <w:left w:val="single" w:color="auto" w:sz="4" w:space="0"/>
              <w:bottom w:val="single" w:color="auto" w:sz="4" w:space="0"/>
              <w:right w:val="single" w:color="auto" w:sz="4" w:space="0"/>
            </w:tcBorders>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一、计算机设备及软件（A0201）</w:t>
            </w:r>
          </w:p>
        </w:tc>
        <w:tc>
          <w:tcPr>
            <w:tcW w:w="2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（一）计算机设备</w:t>
            </w:r>
          </w:p>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（A020101）</w:t>
            </w: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1.台式计算机（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A02010104）</w:t>
            </w:r>
          </w:p>
        </w:tc>
        <w:tc>
          <w:tcPr>
            <w:tcW w:w="2364" w:type="dxa"/>
            <w:tcBorders>
              <w:left w:val="single" w:color="auto" w:sz="4" w:space="0"/>
            </w:tcBorders>
            <w:vAlign w:val="bottom"/>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2.便携式计算机（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A02010105）</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3.掌上电脑（A02010106）</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4.平板式微型计算机（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A02010107）</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5.其他计算机设备（A02010199）</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（二）计算机网络设备（A020102）</w:t>
            </w: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6.路由器（A02010201）</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7.交换设备（A02010202）</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8.集线器（A02010203）</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9、光端机（A02010204）</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10.终端接入设备（A02010205）</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上网卡、调制解调器等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11.其他网络设备（A02010299）</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（三）存储设备（A020105）</w:t>
            </w: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12.网络存储设备 （A02010507）</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13.移动存储设备（A02010508）</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14.其他存储设备（A02010599）</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（四）输入输出设备</w:t>
            </w:r>
          </w:p>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（A020106）</w:t>
            </w: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15.喷墨打印机（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A0201060101）</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16.激光打印机（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A0201060102）</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17.热式打印机（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A0201060103）</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18.针式打印机（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A0201060104）</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19.其他打印机设备（A0201060199）</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20.计算机绘图设备（A02010602）</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21.计算机光电设备（A02010603）</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22.显示设备（A02010603）</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23.一般输入设备（A02010607）</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键盘、鼠标器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24.扫描仪（A020106060901）</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25.语音输入设备（A0201060610）</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26.手写式输入设备（A0201060611）</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27.数据录入设备（A0201060612）</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（五）计算机软件（A020108）</w:t>
            </w: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28.基础软件（A02010801）</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操作系统、办公套件等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p>
        </w:tc>
        <w:tc>
          <w:tcPr>
            <w:tcW w:w="35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29.通用应用软件（A0201080301）</w:t>
            </w:r>
          </w:p>
        </w:tc>
        <w:tc>
          <w:tcPr>
            <w:tcW w:w="2364" w:type="dxa"/>
            <w:tcBorders>
              <w:left w:val="single" w:color="auto" w:sz="4" w:space="0"/>
            </w:tcBorders>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tcBorders>
              <w:top w:val="single" w:color="auto" w:sz="4" w:space="0"/>
            </w:tcBorders>
            <w:vAlign w:val="center"/>
          </w:tcPr>
          <w:p>
            <w:pPr>
              <w:widowControl/>
              <w:spacing w:line="320" w:lineRule="exact"/>
              <w:jc w:val="center"/>
              <w:rPr>
                <w:rFonts w:ascii="仿宋" w:hAnsi="仿宋" w:eastAsia="仿宋" w:cs="宋体"/>
                <w:bCs/>
                <w:color w:val="000000"/>
                <w:sz w:val="24"/>
                <w:szCs w:val="24"/>
              </w:rPr>
            </w:pPr>
          </w:p>
        </w:tc>
        <w:tc>
          <w:tcPr>
            <w:tcW w:w="2263" w:type="dxa"/>
            <w:tcBorders>
              <w:top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（六）其他计算机设备及软件（A020199）</w:t>
            </w:r>
          </w:p>
        </w:tc>
        <w:tc>
          <w:tcPr>
            <w:tcW w:w="3598" w:type="dxa"/>
            <w:tcBorders>
              <w:top w:val="single" w:color="auto" w:sz="4" w:space="0"/>
            </w:tcBorders>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30.计算机设备零部件（A020109）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99" w:type="dxa"/>
            <w:vMerge w:val="restart"/>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二、办公设备（A0202）</w:t>
            </w:r>
          </w:p>
        </w:tc>
        <w:tc>
          <w:tcPr>
            <w:tcW w:w="2263" w:type="dxa"/>
            <w:vMerge w:val="restart"/>
            <w:vAlign w:val="center"/>
          </w:tcPr>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（七）办公设备（A0202）</w:t>
            </w: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31.复印机（A020201）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32.投影仪（A020202）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33.投影幕（A020203）</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34.多功能一体机（A020204）</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35.照相机及器材（A020205）</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36.电子白板（A020206）</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37.刻录机（A020209）</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38.速印机（A02021001）</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39.胶印机（A02021002）</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40.装订机（A02021003）</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xml:space="preserve">41.配页机（A02021004） </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42.折页机（A02021005）</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43.其他文印设备（A02021099）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44.碎纸机（A02021101）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45.光盘粉碎机（A02021102）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46.硬盘粉碎机（A02021103）</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47.芯片粉碎机（A02021104）</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48.其他销毁设备（A02021199）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49.条码打印机（A020212）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50.条码扫描器（A020213）</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51.计算器（A02021401）</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restart"/>
            <w:vAlign w:val="center"/>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三、图书档案设备（A0204）</w:t>
            </w: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（八）图书档案设备（A0204）</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52.固定架、密集架（A02040101）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53.案卷柜（A02040102）</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54.磁带柜（A02040103）</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55.其他图书档案装具（A02040199）</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档案卷盒、卷夹等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99" w:type="dxa"/>
            <w:vMerge w:val="restart"/>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四、电气设备（A0206）</w:t>
            </w: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widowControl/>
              <w:spacing w:line="320" w:lineRule="exact"/>
              <w:jc w:val="center"/>
              <w:rPr>
                <w:rFonts w:ascii="仿宋" w:hAnsi="仿宋" w:eastAsia="仿宋" w:cs="宋体"/>
                <w:bCs/>
                <w:color w:val="000000"/>
                <w:sz w:val="24"/>
                <w:szCs w:val="24"/>
              </w:rPr>
            </w:pPr>
          </w:p>
          <w:p>
            <w:pPr>
              <w:spacing w:line="320" w:lineRule="exact"/>
              <w:jc w:val="center"/>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（九）电源设备（A020615）</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56.稳压电源（A02061501）</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99" w:type="dxa"/>
            <w:vMerge w:val="continue"/>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57.不间断电源（A02061504）</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99" w:type="dxa"/>
            <w:vMerge w:val="continue"/>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58.其他电源设备（A02061599）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（十）生活用电器（A020618）</w:t>
            </w: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59.电冰箱（A0206180101）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60.冷藏柜（A0206180102）</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61.其他制冷电器（A0206180199）</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62.风扇（A0206180201）</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63.通风机（A0206180202）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64.空调机（</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A0206180203）</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制冷量14000w以下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65.空气滤洁器（A0206180204）</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66.空气净化设备（A0206180205）</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67.取暖器（A0206180207）</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68.调湿调温机（A0206180208）</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69.其他空气调节电器（A0206180299）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70.洗衣机（A0206180301）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71.吸尘器（A0206180302）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72.洗碗机（A0206180303）</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73.烫电器（A02061804）</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74.烹调电器（A02061805）</w:t>
            </w:r>
          </w:p>
        </w:tc>
        <w:tc>
          <w:tcPr>
            <w:tcW w:w="2364" w:type="dxa"/>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包括电饭锅、微波炉等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75.食品制备电器（A02061806）</w:t>
            </w:r>
          </w:p>
        </w:tc>
        <w:tc>
          <w:tcPr>
            <w:tcW w:w="2364" w:type="dxa"/>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包括电动食品搅拌器、电动食品研磨机等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76.饮水器（A02061807）</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77.热水器（A02061808）</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电热水器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78.其他生活用电器（A02061899）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（十一）照明设备（A020619）</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79.室内照明灯具（A02061908）</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包括吸顶灯等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80.除害虫用灯（A02061912）</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81.手电筒（A02061915）</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82.其他灯具（A02061999）</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 xml:space="preserve">普通照明用自镇流荧光灯 </w:t>
            </w:r>
          </w:p>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 xml:space="preserve">普通照明用双灯荧光灯 </w:t>
            </w:r>
          </w:p>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高压钠灯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99" w:type="dxa"/>
            <w:vMerge w:val="restart"/>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五、通信设备（A0208）</w:t>
            </w: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（十二）电话通信设备(A020807)</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83.固定电话机（A02080701）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（十三）传真及数据通信设备（A020810）</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84.传真通信设备（A02081001）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restart"/>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六、广播、电视、电影设备（A0209）</w:t>
            </w: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（十四）电视设备（</w:t>
            </w:r>
            <w:r>
              <w:rPr>
                <w:rFonts w:hint="eastAsia" w:ascii="仿宋" w:hAnsi="仿宋" w:eastAsia="仿宋" w:cs="宋体"/>
                <w:bCs/>
                <w:color w:val="000000"/>
                <w:sz w:val="24"/>
                <w:szCs w:val="24"/>
              </w:rPr>
              <w:sym w:font="Wingdings" w:char="F0AB"/>
            </w:r>
            <w:r>
              <w:rPr>
                <w:rFonts w:hint="eastAsia" w:ascii="仿宋" w:hAnsi="仿宋" w:eastAsia="仿宋" w:cs="宋体"/>
                <w:bCs/>
                <w:color w:val="000000"/>
                <w:sz w:val="24"/>
                <w:szCs w:val="24"/>
              </w:rPr>
              <w:t>A020910）</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85.普通电视设备（A02091001）</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86.其他电视设备（A02091099）</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（十五）视频设备（A020911）</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87.录像机（A02091101）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88.通用摄像机（A02091102）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89.摄录一体机（A02091103）</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90.平板显示设备（A02091104）</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91.激光视盘机（A02091106）</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VCD DVD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（十六）音频设备（A020912）</w:t>
            </w: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92.录放音机（A02091201）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93.收音机（A02091202）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94.音频功率放大器设备（A02091203）</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功放设备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95.音响电视组合机（A02091205）</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96.话筒设备（A02091206）</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97.扩音设备（A02091210）</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98.音箱（A02091211）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99.其他音频设备（A02091299）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restart"/>
            <w:vAlign w:val="center"/>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七、文艺设备（A0335）</w:t>
            </w: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（十七）文艺设备（A0335）</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100.乐器（A033501）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101.其他文艺设备（A033599）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restart"/>
            <w:vAlign w:val="center"/>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八、体育设备（A0336）</w:t>
            </w: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（十八）体育设备（A0336）</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102.健身设备（A033626）</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103.其他体育设备（A033699）</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99" w:type="dxa"/>
            <w:vMerge w:val="restart"/>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九、家具用具（A06）</w:t>
            </w: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（十九）台、桌类（A0602）</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104.台、桌类（A0602）</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包括写字台、书桌、前台桌等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（二十）椅凳类（A0603）</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105.椅凳类（A0603）</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包括扶手椅、凳子等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（二十一）沙发类（A0604）</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106.沙发类（A0604）</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包括皮沙发、布艺沙发等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（二十二）柜类（A0605）</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107.柜类（A0605）</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木质柜、保险柜等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（二十三）架类（A0608）</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108.架类（A0608）</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书架、货架等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（二十四）厨卫用具（A0608）</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109.炊事机械（A060802）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110.餐具（A060812）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restart"/>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十、被服装具（A07）</w:t>
            </w: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（二十五）床上装具（A070302）</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111.床上装具（A070302）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99" w:type="dxa"/>
            <w:vMerge w:val="continue"/>
          </w:tcPr>
          <w:p>
            <w:pPr>
              <w:widowControl/>
              <w:spacing w:line="320" w:lineRule="exact"/>
              <w:jc w:val="center"/>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（二十六）室内装具（A070303）</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112.台布（桌布）（A07030301）</w:t>
            </w:r>
          </w:p>
        </w:tc>
        <w:tc>
          <w:tcPr>
            <w:tcW w:w="2364" w:type="dxa"/>
            <w:vMerge w:val="restart"/>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799" w:type="dxa"/>
            <w:vMerge w:val="continue"/>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113.毛巾（A07030302）</w:t>
            </w:r>
          </w:p>
        </w:tc>
        <w:tc>
          <w:tcPr>
            <w:tcW w:w="2364" w:type="dxa"/>
            <w:vMerge w:val="continue"/>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99" w:type="dxa"/>
            <w:vMerge w:val="continue"/>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114.窗帘及类似品（A07030303）</w:t>
            </w:r>
          </w:p>
        </w:tc>
        <w:tc>
          <w:tcPr>
            <w:tcW w:w="2364" w:type="dxa"/>
            <w:vMerge w:val="continue"/>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799" w:type="dxa"/>
            <w:vMerge w:val="continue"/>
          </w:tcPr>
          <w:p>
            <w:pPr>
              <w:widowControl/>
              <w:spacing w:line="320" w:lineRule="exact"/>
              <w:jc w:val="center"/>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115.其他室内装具（A07030399）</w:t>
            </w:r>
          </w:p>
        </w:tc>
        <w:tc>
          <w:tcPr>
            <w:tcW w:w="2364" w:type="dxa"/>
            <w:vMerge w:val="continue"/>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restart"/>
          </w:tcPr>
          <w:p>
            <w:pPr>
              <w:widowControl/>
              <w:spacing w:line="320" w:lineRule="exact"/>
              <w:jc w:val="center"/>
              <w:rPr>
                <w:rFonts w:ascii="仿宋" w:hAnsi="仿宋" w:eastAsia="仿宋" w:cs="宋体"/>
                <w:bCs/>
                <w:color w:val="000000"/>
                <w:sz w:val="24"/>
                <w:szCs w:val="24"/>
              </w:rPr>
            </w:pPr>
            <w:r>
              <w:rPr>
                <w:rFonts w:hint="eastAsia" w:ascii="仿宋" w:hAnsi="仿宋" w:eastAsia="仿宋" w:cs="宋体"/>
                <w:bCs/>
                <w:color w:val="000000"/>
                <w:sz w:val="24"/>
                <w:szCs w:val="24"/>
              </w:rPr>
              <w:t>十一、办公消耗用品及类似物品（A09）</w:t>
            </w: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（二十七）纸制文具及办公用品（A0901）</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116.纸制文具及办公用品）（A0901）</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信纸、信封等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Merge w:val="restart"/>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（二十八）硒鼓、粉盒（A0902）</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117.鼓粉盒（A090201）</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118.粉盒（A090202）</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119.喷墨盒（A090203）</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120.墨水盒（A090204）</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Merge w:val="continue"/>
            <w:vAlign w:val="center"/>
          </w:tcPr>
          <w:p>
            <w:pPr>
              <w:widowControl/>
              <w:spacing w:line="320" w:lineRule="exact"/>
              <w:rPr>
                <w:rFonts w:ascii="仿宋" w:hAnsi="仿宋" w:eastAsia="仿宋" w:cs="宋体"/>
                <w:bCs/>
                <w:color w:val="000000"/>
                <w:sz w:val="24"/>
                <w:szCs w:val="24"/>
              </w:rPr>
            </w:pP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121.色带（A090205）</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（二十九）墨、颜料（A0903）</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122.墨、颜料（A0903）</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（三十）文教用品（A0904）</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123.教具（A090403）</w:t>
            </w:r>
          </w:p>
        </w:tc>
        <w:tc>
          <w:tcPr>
            <w:tcW w:w="2364" w:type="dxa"/>
            <w:vAlign w:val="center"/>
          </w:tcPr>
          <w:p>
            <w:pPr>
              <w:widowControl/>
              <w:spacing w:line="320" w:lineRule="exact"/>
              <w:rPr>
                <w:rFonts w:ascii="仿宋" w:hAnsi="仿宋" w:eastAsia="仿宋"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799" w:type="dxa"/>
            <w:vMerge w:val="continue"/>
            <w:vAlign w:val="center"/>
          </w:tcPr>
          <w:p>
            <w:pPr>
              <w:widowControl/>
              <w:spacing w:line="320" w:lineRule="exact"/>
              <w:rPr>
                <w:rFonts w:ascii="仿宋" w:hAnsi="仿宋" w:eastAsia="仿宋" w:cs="宋体"/>
                <w:bCs/>
                <w:color w:val="000000"/>
                <w:sz w:val="24"/>
                <w:szCs w:val="24"/>
              </w:rPr>
            </w:pPr>
          </w:p>
        </w:tc>
        <w:tc>
          <w:tcPr>
            <w:tcW w:w="2263"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（三十一）信息化学品（A0906）</w:t>
            </w:r>
          </w:p>
        </w:tc>
        <w:tc>
          <w:tcPr>
            <w:tcW w:w="3598"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124.信息化学品（A0906）</w:t>
            </w:r>
          </w:p>
        </w:tc>
        <w:tc>
          <w:tcPr>
            <w:tcW w:w="2364" w:type="dxa"/>
            <w:vAlign w:val="center"/>
          </w:tcPr>
          <w:p>
            <w:pPr>
              <w:widowControl/>
              <w:spacing w:line="320" w:lineRule="exact"/>
              <w:rPr>
                <w:rFonts w:ascii="仿宋" w:hAnsi="仿宋" w:eastAsia="仿宋" w:cs="宋体"/>
                <w:bCs/>
                <w:color w:val="000000"/>
                <w:sz w:val="24"/>
                <w:szCs w:val="24"/>
              </w:rPr>
            </w:pPr>
            <w:r>
              <w:rPr>
                <w:rFonts w:hint="eastAsia" w:ascii="仿宋" w:hAnsi="仿宋" w:eastAsia="仿宋" w:cs="宋体"/>
                <w:bCs/>
                <w:color w:val="000000"/>
                <w:sz w:val="24"/>
                <w:szCs w:val="24"/>
              </w:rPr>
              <w:t>胶片胶卷、录音录像带等</w:t>
            </w:r>
          </w:p>
        </w:tc>
      </w:tr>
    </w:tbl>
    <w:p>
      <w:pPr>
        <w:spacing w:line="400" w:lineRule="exact"/>
        <w:rPr>
          <w:rFonts w:ascii="仿宋_GB2312" w:eastAsia="仿宋_GB2312"/>
          <w:color w:val="000000"/>
          <w:sz w:val="24"/>
          <w:szCs w:val="24"/>
        </w:rPr>
      </w:pPr>
      <w:r>
        <w:rPr>
          <w:rFonts w:hint="eastAsia" w:ascii="仿宋_GB2312" w:eastAsia="仿宋_GB2312"/>
          <w:color w:val="000000"/>
          <w:sz w:val="24"/>
          <w:szCs w:val="24"/>
        </w:rPr>
        <w:t>采购人应当采购本国货物，如采购进口货物的，按规定报批。</w:t>
      </w:r>
    </w:p>
    <w:p>
      <w:pPr>
        <w:spacing w:line="400" w:lineRule="exact"/>
        <w:rPr>
          <w:rFonts w:ascii="仿宋_GB2312" w:eastAsia="仿宋_GB2312"/>
          <w:color w:val="000000"/>
          <w:sz w:val="24"/>
          <w:szCs w:val="24"/>
        </w:rPr>
      </w:pPr>
      <w:r>
        <w:rPr>
          <w:rFonts w:hint="eastAsia" w:ascii="仿宋_GB2312" w:eastAsia="仿宋_GB2312"/>
          <w:color w:val="000000"/>
          <w:sz w:val="24"/>
          <w:szCs w:val="24"/>
        </w:rPr>
        <w:t>带</w:t>
      </w:r>
      <w:r>
        <w:rPr>
          <w:rFonts w:hint="eastAsia" w:ascii="仿宋_GB2312" w:eastAsia="仿宋_GB2312"/>
          <w:color w:val="000000"/>
          <w:sz w:val="24"/>
          <w:szCs w:val="24"/>
        </w:rPr>
        <w:sym w:font="Wingdings" w:char="F0AB"/>
      </w:r>
      <w:r>
        <w:rPr>
          <w:rFonts w:hint="eastAsia" w:ascii="仿宋_GB2312" w:eastAsia="仿宋_GB2312"/>
          <w:color w:val="000000"/>
          <w:sz w:val="24"/>
          <w:szCs w:val="24"/>
        </w:rPr>
        <w:t>标识品目为政府采购清单强制采购的节能产品。</w:t>
      </w:r>
    </w:p>
    <w:p>
      <w:pPr>
        <w:numPr>
          <w:ilvl w:val="0"/>
          <w:numId w:val="0"/>
        </w:numPr>
        <w:tabs>
          <w:tab w:val="left" w:pos="1409"/>
        </w:tabs>
        <w:rPr>
          <w:rFonts w:hint="eastAsia"/>
          <w:b/>
          <w:bCs/>
          <w:color w:val="FF0000"/>
          <w:sz w:val="28"/>
          <w:szCs w:val="28"/>
          <w:highlight w:val="none"/>
          <w:lang w:val="en-US" w:eastAsia="zh-CN"/>
        </w:rPr>
      </w:pPr>
      <w:r>
        <w:rPr>
          <w:rFonts w:hint="eastAsia"/>
          <w:b/>
          <w:bCs/>
          <w:color w:val="FF0000"/>
          <w:sz w:val="28"/>
          <w:szCs w:val="28"/>
          <w:highlight w:val="none"/>
          <w:lang w:val="en-US" w:eastAsia="zh-CN"/>
        </w:rPr>
        <w:tab/>
      </w:r>
    </w:p>
    <w:p>
      <w:pPr>
        <w:numPr>
          <w:ilvl w:val="0"/>
          <w:numId w:val="0"/>
        </w:numPr>
        <w:tabs>
          <w:tab w:val="left" w:pos="1409"/>
        </w:tabs>
        <w:rPr>
          <w:rFonts w:hint="default"/>
          <w:b/>
          <w:bCs/>
          <w:color w:val="FF000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Times New Roman" w:hAnsi="Times New Roman" w:eastAsia="方正仿宋_GBK" w:cs="Times New Roman"/>
          <w:sz w:val="24"/>
          <w:szCs w:val="24"/>
          <w:vertAlign w:val="baseline"/>
          <w:lang w:val="en-US" w:eastAsia="zh-CN"/>
        </w:rPr>
      </w:pPr>
      <w:bookmarkStart w:id="1" w:name="附件2"/>
      <w:r>
        <w:rPr>
          <w:rFonts w:hint="eastAsia" w:ascii="Times New Roman" w:hAnsi="Times New Roman" w:eastAsia="方正仿宋_GBK" w:cs="Times New Roman"/>
          <w:sz w:val="24"/>
          <w:szCs w:val="24"/>
          <w:vertAlign w:val="baseline"/>
          <w:lang w:val="en-US" w:eastAsia="zh-CN"/>
        </w:rPr>
        <w:t>附件2：</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vertAlign w:val="baseline"/>
          <w:lang w:val="en-US" w:eastAsia="zh-CN"/>
        </w:rPr>
      </w:pPr>
      <w:r>
        <w:rPr>
          <w:rFonts w:hint="eastAsia" w:ascii="方正小标宋_GBK" w:hAnsi="方正小标宋_GBK" w:eastAsia="方正小标宋_GBK" w:cs="方正小标宋_GBK"/>
          <w:sz w:val="32"/>
          <w:szCs w:val="32"/>
          <w:vertAlign w:val="baseline"/>
          <w:lang w:val="en-US" w:eastAsia="zh-CN"/>
        </w:rPr>
        <w:t>泰州市市级公用经费（定额）支出范围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vertAlign w:val="baseline"/>
          <w:lang w:val="en-US" w:eastAsia="zh-CN"/>
        </w:rPr>
      </w:pPr>
    </w:p>
    <w:tbl>
      <w:tblPr>
        <w:tblStyle w:val="6"/>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87"/>
        <w:gridCol w:w="2223"/>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方正黑体_GBK" w:hAnsi="方正黑体_GBK" w:eastAsia="方正黑体_GBK" w:cs="方正黑体_GBK"/>
                <w:sz w:val="24"/>
                <w:szCs w:val="24"/>
                <w:vertAlign w:val="baseline"/>
                <w:lang w:val="en-US" w:eastAsia="zh-CN"/>
              </w:rPr>
            </w:pPr>
            <w:r>
              <w:rPr>
                <w:rStyle w:val="12"/>
                <w:rFonts w:hint="eastAsia" w:ascii="方正黑体_GBK" w:hAnsi="方正黑体_GBK" w:eastAsia="方正黑体_GBK" w:cs="方正黑体_GBK"/>
                <w:sz w:val="24"/>
                <w:szCs w:val="24"/>
                <w:lang w:val="en-US" w:eastAsia="zh-CN" w:bidi="ar"/>
              </w:rPr>
              <w:t>序号</w:t>
            </w:r>
          </w:p>
        </w:tc>
        <w:tc>
          <w:tcPr>
            <w:tcW w:w="1187" w:type="dxa"/>
            <w:vAlign w:val="center"/>
          </w:tcPr>
          <w:p>
            <w:pPr>
              <w:keepNext w:val="0"/>
              <w:keepLines w:val="0"/>
              <w:widowControl/>
              <w:suppressLineNumbers w:val="0"/>
              <w:jc w:val="center"/>
              <w:textAlignment w:val="center"/>
              <w:rPr>
                <w:rFonts w:hint="eastAsia" w:ascii="方正黑体_GBK" w:hAnsi="方正黑体_GBK" w:eastAsia="方正黑体_GBK" w:cs="方正黑体_GBK"/>
                <w:sz w:val="24"/>
                <w:szCs w:val="24"/>
                <w:vertAlign w:val="baseline"/>
                <w:lang w:val="en-US" w:eastAsia="zh-CN"/>
              </w:rPr>
            </w:pPr>
            <w:r>
              <w:rPr>
                <w:rStyle w:val="12"/>
                <w:rFonts w:hint="eastAsia" w:ascii="方正黑体_GBK" w:hAnsi="方正黑体_GBK" w:eastAsia="方正黑体_GBK" w:cs="方正黑体_GBK"/>
                <w:sz w:val="24"/>
                <w:szCs w:val="24"/>
                <w:lang w:val="en-US" w:eastAsia="zh-CN" w:bidi="ar"/>
              </w:rPr>
              <w:t>科目编码</w:t>
            </w:r>
          </w:p>
        </w:tc>
        <w:tc>
          <w:tcPr>
            <w:tcW w:w="2223" w:type="dxa"/>
            <w:vAlign w:val="center"/>
          </w:tcPr>
          <w:p>
            <w:pPr>
              <w:keepNext w:val="0"/>
              <w:keepLines w:val="0"/>
              <w:widowControl/>
              <w:suppressLineNumbers w:val="0"/>
              <w:jc w:val="center"/>
              <w:textAlignment w:val="center"/>
              <w:rPr>
                <w:rFonts w:hint="eastAsia" w:ascii="方正黑体_GBK" w:hAnsi="方正黑体_GBK" w:eastAsia="方正黑体_GBK" w:cs="方正黑体_GBK"/>
                <w:sz w:val="24"/>
                <w:szCs w:val="24"/>
                <w:vertAlign w:val="baseline"/>
                <w:lang w:val="en-US" w:eastAsia="zh-CN"/>
              </w:rPr>
            </w:pPr>
            <w:r>
              <w:rPr>
                <w:rStyle w:val="12"/>
                <w:rFonts w:hint="eastAsia" w:ascii="方正黑体_GBK" w:hAnsi="方正黑体_GBK" w:eastAsia="方正黑体_GBK" w:cs="方正黑体_GBK"/>
                <w:sz w:val="24"/>
                <w:szCs w:val="24"/>
                <w:lang w:val="en-US" w:eastAsia="zh-CN" w:bidi="ar"/>
              </w:rPr>
              <w:t>科目名称（款级）</w:t>
            </w:r>
          </w:p>
        </w:tc>
        <w:tc>
          <w:tcPr>
            <w:tcW w:w="4763" w:type="dxa"/>
            <w:vAlign w:val="center"/>
          </w:tcPr>
          <w:p>
            <w:pPr>
              <w:keepNext w:val="0"/>
              <w:keepLines w:val="0"/>
              <w:widowControl/>
              <w:suppressLineNumbers w:val="0"/>
              <w:jc w:val="center"/>
              <w:textAlignment w:val="center"/>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b/>
                <w:i w:val="0"/>
                <w:color w:val="000000"/>
                <w:kern w:val="0"/>
                <w:sz w:val="24"/>
                <w:szCs w:val="24"/>
                <w:u w:val="none"/>
                <w:lang w:val="en-US" w:eastAsia="zh-CN" w:bidi="ar"/>
              </w:rPr>
              <w:t>具体支出范围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p>
        </w:tc>
        <w:tc>
          <w:tcPr>
            <w:tcW w:w="1187" w:type="dxa"/>
            <w:vMerge w:val="restart"/>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30201</w:t>
            </w:r>
          </w:p>
        </w:tc>
        <w:tc>
          <w:tcPr>
            <w:tcW w:w="2223" w:type="dxa"/>
            <w:vMerge w:val="restart"/>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办公费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单位购买不符合固定资产确认标准的日常办公用品支出，如纸张、笔记本、笔、非资本化的小额软件、档案盒、优盘、接线板等</w:t>
            </w:r>
            <w:r>
              <w:rPr>
                <w:rFonts w:hint="eastAsia" w:ascii="方正仿宋_GBK" w:hAnsi="方正仿宋_GBK" w:eastAsia="方正仿宋_GBK" w:cs="方正仿宋_GBK"/>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2</w:t>
            </w:r>
          </w:p>
        </w:tc>
        <w:tc>
          <w:tcPr>
            <w:tcW w:w="1187"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2223"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单位订阅的书报杂志</w:t>
            </w:r>
            <w:r>
              <w:rPr>
                <w:rFonts w:hint="eastAsia" w:ascii="方正仿宋_GBK" w:hAnsi="方正仿宋_GBK" w:eastAsia="方正仿宋_GBK" w:cs="方正仿宋_GBK"/>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w:t>
            </w:r>
          </w:p>
        </w:tc>
        <w:tc>
          <w:tcPr>
            <w:tcW w:w="1187"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2223"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计算机、打印机、复印机、传真机等设备耗材</w:t>
            </w:r>
            <w:r>
              <w:rPr>
                <w:rFonts w:hint="eastAsia" w:ascii="方正仿宋_GBK" w:hAnsi="方正仿宋_GBK" w:eastAsia="方正仿宋_GBK" w:cs="方正仿宋_GBK"/>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4</w:t>
            </w:r>
          </w:p>
        </w:tc>
        <w:tc>
          <w:tcPr>
            <w:tcW w:w="1187"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2223"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4763" w:type="dxa"/>
            <w:vMerge w:val="restart"/>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纸杯、照片冲印扩印、钟、奖牌证书聘书制作、横幅制作、门牌制作、公章刻制费、窗帘、保温瓶、热水壶、报刊杂志架、配钥匙、登报费、席签牌等。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5</w:t>
            </w:r>
          </w:p>
        </w:tc>
        <w:tc>
          <w:tcPr>
            <w:tcW w:w="1187"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2223"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4763" w:type="dxa"/>
            <w:vMerge w:val="continue"/>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6</w:t>
            </w:r>
          </w:p>
        </w:tc>
        <w:tc>
          <w:tcPr>
            <w:tcW w:w="1187"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30202</w:t>
            </w:r>
          </w:p>
        </w:tc>
        <w:tc>
          <w:tcPr>
            <w:tcW w:w="2223"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印刷费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单位因日常工作需要所发生的印刷费支出，如账簿、表册、票证、资料、信封、信笺、名片印刷、电话本制作费、复印、打印等印刷支出</w:t>
            </w:r>
            <w:r>
              <w:rPr>
                <w:rFonts w:hint="eastAsia" w:ascii="方正仿宋_GBK" w:hAnsi="方正仿宋_GBK" w:eastAsia="方正仿宋_GBK" w:cs="方正仿宋_GBK"/>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7</w:t>
            </w:r>
          </w:p>
        </w:tc>
        <w:tc>
          <w:tcPr>
            <w:tcW w:w="1187" w:type="dxa"/>
            <w:vMerge w:val="restart"/>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30207</w:t>
            </w:r>
          </w:p>
        </w:tc>
        <w:tc>
          <w:tcPr>
            <w:tcW w:w="2223" w:type="dxa"/>
            <w:vMerge w:val="restart"/>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邮电费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单位开支的信函、包裹、货物等物品的邮寄费（含快递费）</w:t>
            </w:r>
            <w:r>
              <w:rPr>
                <w:rFonts w:hint="eastAsia" w:ascii="方正仿宋_GBK" w:hAnsi="方正仿宋_GBK" w:eastAsia="方正仿宋_GBK" w:cs="方正仿宋_GBK"/>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8</w:t>
            </w:r>
          </w:p>
        </w:tc>
        <w:tc>
          <w:tcPr>
            <w:tcW w:w="1187"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2223"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单位开支的电话、传真等。（学校办公室统一管理）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9</w:t>
            </w:r>
          </w:p>
        </w:tc>
        <w:tc>
          <w:tcPr>
            <w:tcW w:w="1187"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2223"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单位支付的网络费用（包括移动上网、无线网卡费用）。（信息化中心统一管理）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宋体" w:cs="Times New Roman"/>
                <w:i w:val="0"/>
                <w:color w:val="000000"/>
                <w:kern w:val="0"/>
                <w:sz w:val="21"/>
                <w:szCs w:val="21"/>
                <w:u w:val="none"/>
                <w:lang w:val="en-US" w:eastAsia="zh-CN" w:bidi="ar"/>
              </w:rPr>
              <w:t>10</w:t>
            </w:r>
          </w:p>
        </w:tc>
        <w:tc>
          <w:tcPr>
            <w:tcW w:w="1187"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30211</w:t>
            </w:r>
          </w:p>
        </w:tc>
        <w:tc>
          <w:tcPr>
            <w:tcW w:w="2223"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差旅费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本单位工作人员发生的城市间公共交通费、住宿费、伙食补助费、其他允许列支出费用（包括退票费、购票手续费、按规定的必要保险、应由培训单位承担的部分会议费用等）。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1</w:t>
            </w:r>
          </w:p>
        </w:tc>
        <w:tc>
          <w:tcPr>
            <w:tcW w:w="1187" w:type="dxa"/>
            <w:vMerge w:val="restart"/>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30213</w:t>
            </w:r>
          </w:p>
        </w:tc>
        <w:tc>
          <w:tcPr>
            <w:tcW w:w="2223" w:type="dxa"/>
            <w:vMerge w:val="restart"/>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维修（护）费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信息系统维修（护）费</w:t>
            </w:r>
            <w:r>
              <w:rPr>
                <w:rFonts w:hint="eastAsia" w:ascii="方正仿宋_GBK" w:hAnsi="方正仿宋_GBK" w:eastAsia="方正仿宋_GBK" w:cs="方正仿宋_GBK"/>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1</w:t>
            </w:r>
            <w:r>
              <w:rPr>
                <w:rFonts w:hint="eastAsia" w:ascii="Times New Roman" w:hAnsi="Times New Roman" w:eastAsia="宋体" w:cs="Times New Roman"/>
                <w:i w:val="0"/>
                <w:color w:val="000000"/>
                <w:kern w:val="0"/>
                <w:sz w:val="21"/>
                <w:szCs w:val="21"/>
                <w:u w:val="none"/>
                <w:lang w:val="en-US" w:eastAsia="zh-CN" w:bidi="ar"/>
              </w:rPr>
              <w:t>2</w:t>
            </w:r>
          </w:p>
        </w:tc>
        <w:tc>
          <w:tcPr>
            <w:tcW w:w="1187"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2223" w:type="dxa"/>
            <w:vMerge w:val="continue"/>
            <w:vAlign w:val="center"/>
          </w:tcPr>
          <w:p>
            <w:pPr>
              <w:jc w:val="center"/>
              <w:rPr>
                <w:rFonts w:hint="eastAsia" w:ascii="Times New Roman" w:hAnsi="Times New Roman" w:eastAsia="方正仿宋_GBK" w:cs="Times New Roman"/>
                <w:sz w:val="21"/>
                <w:szCs w:val="21"/>
                <w:vertAlign w:val="baseline"/>
                <w:lang w:val="en-US" w:eastAsia="zh-CN"/>
              </w:rPr>
            </w:pP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1"/>
                <w:szCs w:val="21"/>
                <w:u w:val="none"/>
                <w:lang w:val="en-US" w:eastAsia="zh-CN" w:bidi="ar"/>
              </w:rPr>
              <w:t>单位日常开支的固定资产（不包括车船等交通工具）修理和维护费用</w:t>
            </w:r>
            <w:r>
              <w:rPr>
                <w:rFonts w:hint="eastAsia" w:ascii="方正仿宋_GBK" w:hAnsi="方正仿宋_GBK" w:eastAsia="方正仿宋_GBK" w:cs="方正仿宋_GBK"/>
                <w:i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4"/>
                <w:szCs w:val="24"/>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3</w:t>
            </w:r>
          </w:p>
        </w:tc>
        <w:tc>
          <w:tcPr>
            <w:tcW w:w="1187"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4"/>
                <w:szCs w:val="24"/>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30215</w:t>
            </w:r>
          </w:p>
        </w:tc>
        <w:tc>
          <w:tcPr>
            <w:tcW w:w="2223"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4"/>
                <w:szCs w:val="24"/>
                <w:vertAlign w:val="baseline"/>
                <w:lang w:val="en-US" w:eastAsia="zh-CN"/>
              </w:rPr>
            </w:pPr>
            <w:r>
              <w:rPr>
                <w:rFonts w:hint="eastAsia" w:ascii="方正仿宋_GBK" w:hAnsi="方正仿宋_GBK" w:eastAsia="方正仿宋_GBK" w:cs="方正仿宋_GBK"/>
                <w:i w:val="0"/>
                <w:color w:val="000000"/>
                <w:kern w:val="0"/>
                <w:sz w:val="20"/>
                <w:szCs w:val="20"/>
                <w:u w:val="none"/>
                <w:lang w:val="en-US" w:eastAsia="zh-CN" w:bidi="ar"/>
              </w:rPr>
              <w:t>（举办)</w:t>
            </w:r>
            <w:r>
              <w:rPr>
                <w:rFonts w:ascii="方正仿宋_GBK" w:hAnsi="方正仿宋_GBK" w:eastAsia="方正仿宋_GBK" w:cs="方正仿宋_GBK"/>
                <w:i w:val="0"/>
                <w:color w:val="000000"/>
                <w:kern w:val="0"/>
                <w:sz w:val="20"/>
                <w:szCs w:val="20"/>
                <w:u w:val="none"/>
                <w:lang w:val="en-US" w:eastAsia="zh-CN" w:bidi="ar"/>
              </w:rPr>
              <w:t>会议费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4"/>
                <w:szCs w:val="24"/>
                <w:vertAlign w:val="baseline"/>
                <w:lang w:val="en-US" w:eastAsia="zh-CN"/>
              </w:rPr>
            </w:pPr>
            <w:r>
              <w:rPr>
                <w:rFonts w:ascii="方正仿宋_GBK" w:hAnsi="方正仿宋_GBK" w:eastAsia="方正仿宋_GBK" w:cs="方正仿宋_GBK"/>
                <w:i w:val="0"/>
                <w:color w:val="000000"/>
                <w:kern w:val="0"/>
                <w:sz w:val="20"/>
                <w:szCs w:val="20"/>
                <w:u w:val="none"/>
                <w:lang w:val="en-US" w:eastAsia="zh-CN" w:bidi="ar"/>
              </w:rPr>
              <w:t>住宿费、伙食费、租金（包括场地、线路、设备等租金）、交通费、文件印刷费以及其他允许列支的费用（医药费）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4</w:t>
            </w:r>
          </w:p>
        </w:tc>
        <w:tc>
          <w:tcPr>
            <w:tcW w:w="1187"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30216</w:t>
            </w:r>
          </w:p>
        </w:tc>
        <w:tc>
          <w:tcPr>
            <w:tcW w:w="2223"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0"/>
                <w:szCs w:val="20"/>
                <w:u w:val="none"/>
                <w:lang w:val="en-US" w:eastAsia="zh-CN" w:bidi="ar"/>
              </w:rPr>
              <w:t>培训费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0"/>
                <w:szCs w:val="20"/>
                <w:u w:val="none"/>
                <w:lang w:val="en-US" w:eastAsia="zh-CN" w:bidi="ar"/>
              </w:rPr>
              <w:t>住宿费、伙食费、培训场地费、讲课费、培训资料费、交通费、参训费用（经批准的参训费用，如按规定允许报销的继续教育费用、初任培训费、专业培训费、中青班党校培训、专业技能培训等）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5</w:t>
            </w:r>
          </w:p>
        </w:tc>
        <w:tc>
          <w:tcPr>
            <w:tcW w:w="1187"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30217</w:t>
            </w:r>
          </w:p>
        </w:tc>
        <w:tc>
          <w:tcPr>
            <w:tcW w:w="2223"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0"/>
                <w:szCs w:val="20"/>
                <w:u w:val="none"/>
                <w:lang w:val="en-US" w:eastAsia="zh-CN" w:bidi="ar"/>
              </w:rPr>
              <w:t>公务接待费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ascii="方正仿宋_GBK" w:hAnsi="方正仿宋_GBK" w:eastAsia="方正仿宋_GBK" w:cs="方正仿宋_GBK"/>
                <w:i w:val="0"/>
                <w:color w:val="000000"/>
                <w:kern w:val="0"/>
                <w:sz w:val="20"/>
                <w:szCs w:val="20"/>
                <w:u w:val="none"/>
                <w:lang w:val="en-US" w:eastAsia="zh-CN" w:bidi="ar"/>
              </w:rPr>
              <w:t>内宾接待费（接待餐等）和外宾接待费（外宾住宿费、日常伙食费、宴请费、交通费、赠礼）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6</w:t>
            </w:r>
          </w:p>
        </w:tc>
        <w:tc>
          <w:tcPr>
            <w:tcW w:w="1187"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default" w:ascii="Times New Roman" w:hAnsi="Times New Roman" w:eastAsia="宋体" w:cs="Times New Roman"/>
                <w:i w:val="0"/>
                <w:color w:val="000000"/>
                <w:kern w:val="0"/>
                <w:sz w:val="20"/>
                <w:szCs w:val="20"/>
                <w:u w:val="none"/>
                <w:lang w:val="en-US" w:eastAsia="zh-CN" w:bidi="ar"/>
              </w:rPr>
              <w:t>30218</w:t>
            </w:r>
          </w:p>
        </w:tc>
        <w:tc>
          <w:tcPr>
            <w:tcW w:w="2223" w:type="dxa"/>
            <w:vAlign w:val="center"/>
          </w:tcPr>
          <w:p>
            <w:pPr>
              <w:keepNext w:val="0"/>
              <w:keepLines w:val="0"/>
              <w:widowControl/>
              <w:suppressLineNumbers w:val="0"/>
              <w:jc w:val="center"/>
              <w:textAlignment w:val="center"/>
              <w:rPr>
                <w:rFonts w:hint="eastAsia" w:ascii="Times New Roman" w:hAnsi="Times New Roman" w:eastAsia="方正仿宋_GBK" w:cs="Times New Roman"/>
                <w:sz w:val="21"/>
                <w:szCs w:val="21"/>
                <w:vertAlign w:val="baseline"/>
                <w:lang w:val="en-US" w:eastAsia="zh-CN"/>
              </w:rPr>
            </w:pPr>
            <w:r>
              <w:rPr>
                <w:rFonts w:hint="eastAsia" w:ascii="方正仿宋_GBK" w:hAnsi="方正仿宋_GBK" w:eastAsia="方正仿宋_GBK" w:cs="方正仿宋_GBK"/>
                <w:i w:val="0"/>
                <w:color w:val="000000"/>
                <w:kern w:val="0"/>
                <w:sz w:val="20"/>
                <w:szCs w:val="20"/>
                <w:u w:val="none"/>
                <w:lang w:val="en-US" w:eastAsia="zh-CN" w:bidi="ar"/>
              </w:rPr>
              <w:t>专用材料费</w:t>
            </w:r>
          </w:p>
        </w:tc>
        <w:tc>
          <w:tcPr>
            <w:tcW w:w="4763" w:type="dxa"/>
            <w:vAlign w:val="center"/>
          </w:tcPr>
          <w:p>
            <w:pPr>
              <w:keepNext w:val="0"/>
              <w:keepLines w:val="0"/>
              <w:widowControl/>
              <w:suppressLineNumbers w:val="0"/>
              <w:jc w:val="left"/>
              <w:textAlignment w:val="center"/>
              <w:rPr>
                <w:rFonts w:hint="eastAsia" w:ascii="Times New Roman" w:hAnsi="Times New Roman" w:eastAsia="方正仿宋_GBK" w:cs="Times New Roman"/>
                <w:sz w:val="21"/>
                <w:szCs w:val="21"/>
                <w:vertAlign w:val="baseline"/>
                <w:lang w:val="en-US" w:eastAsia="zh-CN"/>
              </w:rPr>
            </w:pPr>
            <w:r>
              <w:rPr>
                <w:rFonts w:hint="eastAsia" w:ascii="方正仿宋_GBK" w:hAnsi="方正仿宋_GBK" w:eastAsia="方正仿宋_GBK" w:cs="方正仿宋_GBK"/>
                <w:i w:val="0"/>
                <w:color w:val="000000"/>
                <w:kern w:val="0"/>
                <w:sz w:val="20"/>
                <w:szCs w:val="20"/>
                <w:u w:val="none"/>
                <w:lang w:val="en-US" w:eastAsia="zh-CN" w:bidi="ar"/>
              </w:rPr>
              <w:t>药品及医疗消耗品，专用服装（体育老师），专用工具和仪器，实验室用品等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7</w:t>
            </w:r>
          </w:p>
        </w:tc>
        <w:tc>
          <w:tcPr>
            <w:tcW w:w="11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30226</w:t>
            </w:r>
          </w:p>
        </w:tc>
        <w:tc>
          <w:tcPr>
            <w:tcW w:w="2223" w:type="dxa"/>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劳务费</w:t>
            </w:r>
          </w:p>
        </w:tc>
        <w:tc>
          <w:tcPr>
            <w:tcW w:w="4763" w:type="dxa"/>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因日常工作需要或者教学科研项目临时聘请专家等所发生的一次性或短期劳务费用，不包括长期聘用临时人员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18</w:t>
            </w:r>
          </w:p>
        </w:tc>
        <w:tc>
          <w:tcPr>
            <w:tcW w:w="118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30239</w:t>
            </w:r>
          </w:p>
        </w:tc>
        <w:tc>
          <w:tcPr>
            <w:tcW w:w="2223" w:type="dxa"/>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kern w:val="0"/>
                <w:sz w:val="21"/>
                <w:szCs w:val="21"/>
                <w:u w:val="none"/>
                <w:lang w:val="en-US" w:eastAsia="zh-CN" w:bidi="ar"/>
              </w:rPr>
            </w:pPr>
            <w:r>
              <w:rPr>
                <w:rFonts w:ascii="方正仿宋_GBK" w:hAnsi="方正仿宋_GBK" w:eastAsia="方正仿宋_GBK" w:cs="方正仿宋_GBK"/>
                <w:i w:val="0"/>
                <w:color w:val="000000"/>
                <w:kern w:val="0"/>
                <w:sz w:val="20"/>
                <w:szCs w:val="20"/>
                <w:u w:val="none"/>
                <w:lang w:val="en-US" w:eastAsia="zh-CN" w:bidi="ar"/>
              </w:rPr>
              <w:t>其他交通费用</w:t>
            </w:r>
          </w:p>
        </w:tc>
        <w:tc>
          <w:tcPr>
            <w:tcW w:w="4763" w:type="dxa"/>
            <w:vAlign w:val="center"/>
          </w:tcPr>
          <w:p>
            <w:pPr>
              <w:keepNext w:val="0"/>
              <w:keepLines w:val="0"/>
              <w:widowControl/>
              <w:suppressLineNumbers w:val="0"/>
              <w:jc w:val="left"/>
              <w:textAlignment w:val="center"/>
              <w:rPr>
                <w:rFonts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租车费用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仿宋_GBK" w:cs="Times New Roman"/>
          <w:sz w:val="24"/>
          <w:szCs w:val="24"/>
          <w:vertAlign w:val="baseline"/>
          <w:lang w:val="en-US" w:eastAsia="zh-CN"/>
        </w:rPr>
      </w:pPr>
    </w:p>
    <w:p>
      <w:pPr>
        <w:rPr>
          <w:rFonts w:hint="eastAsia" w:ascii="Times New Roman" w:hAnsi="Times New Roman" w:eastAsia="方正仿宋_GBK" w:cs="Times New Roman"/>
          <w:sz w:val="32"/>
          <w:szCs w:val="32"/>
          <w:vertAlign w:val="baseline"/>
          <w:lang w:val="en-US" w:eastAsia="zh-CN"/>
        </w:rPr>
      </w:pP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bookmarkStart w:id="2" w:name="附件3"/>
      <w:r>
        <w:rPr>
          <w:rFonts w:hint="eastAsia" w:ascii="仿宋" w:hAnsi="仿宋" w:eastAsia="仿宋" w:cs="仿宋"/>
          <w:color w:val="000000"/>
          <w:kern w:val="0"/>
          <w:sz w:val="31"/>
          <w:szCs w:val="31"/>
          <w:lang w:val="en-US" w:eastAsia="zh-CN" w:bidi="ar"/>
        </w:rPr>
        <w:t>附件3：</w:t>
      </w:r>
      <w:bookmarkEnd w:id="2"/>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vertAlign w:val="baseline"/>
          <w:lang w:val="en-US" w:eastAsia="zh-CN"/>
        </w:rPr>
      </w:pPr>
      <w:r>
        <w:rPr>
          <w:rFonts w:hint="eastAsia" w:ascii="方正小标宋_GBK" w:hAnsi="方正小标宋_GBK" w:eastAsia="方正小标宋_GBK" w:cs="方正小标宋_GBK"/>
          <w:sz w:val="32"/>
          <w:szCs w:val="32"/>
          <w:vertAlign w:val="baseline"/>
          <w:lang w:val="en-US" w:eastAsia="zh-CN"/>
        </w:rPr>
        <w:t>2021-2022年度泰州市市直行政</w:t>
      </w:r>
      <w:r>
        <w:rPr>
          <w:rFonts w:hint="default" w:ascii="方正小标宋_GBK" w:hAnsi="方正小标宋_GBK" w:eastAsia="方正小标宋_GBK" w:cs="方正小标宋_GBK"/>
          <w:sz w:val="32"/>
          <w:szCs w:val="32"/>
          <w:vertAlign w:val="baseline"/>
          <w:lang w:val="en-US" w:eastAsia="zh-CN"/>
        </w:rPr>
        <w:t>事业单位和社会团体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vertAlign w:val="baseline"/>
          <w:lang w:val="en-US" w:eastAsia="zh-CN"/>
        </w:rPr>
      </w:pPr>
      <w:r>
        <w:rPr>
          <w:rFonts w:hint="eastAsia" w:ascii="方正小标宋_GBK" w:hAnsi="方正小标宋_GBK" w:eastAsia="方正小标宋_GBK" w:cs="方正小标宋_GBK"/>
          <w:sz w:val="32"/>
          <w:szCs w:val="32"/>
          <w:vertAlign w:val="baseline"/>
          <w:lang w:val="en-US" w:eastAsia="zh-CN"/>
        </w:rPr>
        <w:t xml:space="preserve">定点印刷单位及联系方式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1.泰州天之峰图文广告有限公司，地址：泰州市海陵南路289-7号。联系人：蒋 琳、唐 伟，联系电话：15850882199、 18051184699。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2.泰州市江陵印务有限公司，地址：泰州市海陵区南园新村29号。联系人：曹云、孙柏，联系电话：13182299111、13337785459。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3.泰州市凤城印务有限公司，地址：泰州市鼓楼南路286号B2-14。联系人：于华、杨益柱，联系电话：13905267887、 15358633000。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4.泰州市彩驰图文广告有限公司，地址：泰州市海陵区鼓楼南路286号B2-16（一楼）。联系人朱菊芬、彭青，联系电话：13914417190、13365247786。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5.泰州市隆泰文化传播有限公司 ，地址：泰州市海陵区苏陈镇南园经济开发区（夏棋村）1栋。联系人：廖雨晴、沈友群，联系电话：17798898716、18012091466。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6.泰州日报社印务有限公司，地址：泰州市鼓楼南路318号。联系人：王忠明、苏 舒，联系电话：13515158050、 18262309881。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7.江苏苏中印刷有限公司，地址：泰州医药高新区明珠街道鲍徐。联系人：马健、秦亚华，联系电话：18051160098、13952618890。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8.泰州市海光印刷厂，地址：泰州市扬州路南203号。联系人：黄桂林、于俊萍，联系电话：18605238555、18651140000。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9.江苏智城广告有限公司，地址：泰州市海陵区鼓楼南路398号西北角南侧一幢一层。联系人：秦红梅，联系电话：18012090808。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10.泰州市莲花印刷有限公司 ，地址：凤凰路盛和花园65号。联系人：俞言保、杨芬，联系电话：13961010898、18961010898。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11.泰州市广艺文化传媒有限公司，地址：泰州市海陵区迎 春东路北侧北马综合楼由西向东第七间。联系人：周哲、朱菊芳，联系电话：18082079699、13852659699。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12.泰州市文友印刷厂，地址：泰州市海陵区五一路19号。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联系人：陆雨文、翁向红，联系电话：13182258168、18912198989。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13.江苏卡弗数字印刷有限公司，地址：泰州市海陵区海陵工业园区标准厂房12幢-1。联系人：罗宝松、王志伟，联系电话：15751162222、13062956295。</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14.江苏华美印务有限公司，地址：泰州市经济开发区梅兰西路9号标准厂房A区2号厂房西侧。联系人：王云兰，联系电话：13401239863。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sz w:val="20"/>
          <w:szCs w:val="20"/>
        </w:rPr>
      </w:pPr>
      <w:r>
        <w:rPr>
          <w:rFonts w:hint="eastAsia" w:ascii="仿宋" w:hAnsi="仿宋" w:eastAsia="仿宋" w:cs="仿宋"/>
          <w:color w:val="000000"/>
          <w:kern w:val="0"/>
          <w:sz w:val="20"/>
          <w:szCs w:val="20"/>
          <w:lang w:val="en-US" w:eastAsia="zh-CN" w:bidi="ar"/>
        </w:rPr>
        <w:t xml:space="preserve">15.泰州亚东广告传媒有限公司，地址：泰州市恒景国际C22幢906-907-908。联系人：徐亚东，联系电话：18952664466。 </w:t>
      </w:r>
    </w:p>
    <w:p>
      <w:pPr>
        <w:rPr>
          <w:rFonts w:hint="default"/>
          <w:b/>
          <w:bCs/>
          <w:color w:val="FF0000"/>
          <w:sz w:val="20"/>
          <w:szCs w:val="20"/>
          <w:lang w:val="en-US" w:eastAsia="zh-CN"/>
        </w:rPr>
      </w:pPr>
      <w:bookmarkStart w:id="3" w:name="_GoBack"/>
      <w:bookmarkEnd w:id="3"/>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decorative"/>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xNThiYmE0NWRjMzYzYWQ5OGQ2MmZjYjQxOGE1MWYifQ=="/>
  </w:docVars>
  <w:rsids>
    <w:rsidRoot w:val="141A5595"/>
    <w:rsid w:val="00006B79"/>
    <w:rsid w:val="00012BEC"/>
    <w:rsid w:val="00021F9D"/>
    <w:rsid w:val="00030078"/>
    <w:rsid w:val="00042CD2"/>
    <w:rsid w:val="00056AC5"/>
    <w:rsid w:val="00090F9E"/>
    <w:rsid w:val="000A157A"/>
    <w:rsid w:val="0018263E"/>
    <w:rsid w:val="00194DD2"/>
    <w:rsid w:val="001A320F"/>
    <w:rsid w:val="001B05F2"/>
    <w:rsid w:val="001E5793"/>
    <w:rsid w:val="00207870"/>
    <w:rsid w:val="002172D1"/>
    <w:rsid w:val="0024607E"/>
    <w:rsid w:val="00260266"/>
    <w:rsid w:val="0026185B"/>
    <w:rsid w:val="002632DC"/>
    <w:rsid w:val="00265165"/>
    <w:rsid w:val="00277287"/>
    <w:rsid w:val="00290512"/>
    <w:rsid w:val="002C5EF1"/>
    <w:rsid w:val="00314568"/>
    <w:rsid w:val="00330E79"/>
    <w:rsid w:val="003320D5"/>
    <w:rsid w:val="003347C4"/>
    <w:rsid w:val="00346D80"/>
    <w:rsid w:val="00353657"/>
    <w:rsid w:val="00367935"/>
    <w:rsid w:val="003D7C50"/>
    <w:rsid w:val="003F2ADC"/>
    <w:rsid w:val="003F333C"/>
    <w:rsid w:val="00401ECA"/>
    <w:rsid w:val="00413711"/>
    <w:rsid w:val="0041737E"/>
    <w:rsid w:val="0045296E"/>
    <w:rsid w:val="004B5659"/>
    <w:rsid w:val="004C59E7"/>
    <w:rsid w:val="00514713"/>
    <w:rsid w:val="00542E0A"/>
    <w:rsid w:val="00561AA2"/>
    <w:rsid w:val="00562E4A"/>
    <w:rsid w:val="005958BA"/>
    <w:rsid w:val="005A54C8"/>
    <w:rsid w:val="005C62A3"/>
    <w:rsid w:val="00603EED"/>
    <w:rsid w:val="00631E9B"/>
    <w:rsid w:val="006432AD"/>
    <w:rsid w:val="00652BCB"/>
    <w:rsid w:val="00667D45"/>
    <w:rsid w:val="00673E6A"/>
    <w:rsid w:val="006740A4"/>
    <w:rsid w:val="006974FA"/>
    <w:rsid w:val="006B3727"/>
    <w:rsid w:val="006C0343"/>
    <w:rsid w:val="006C1423"/>
    <w:rsid w:val="00712C2A"/>
    <w:rsid w:val="007252B7"/>
    <w:rsid w:val="00746678"/>
    <w:rsid w:val="00750A60"/>
    <w:rsid w:val="007602F3"/>
    <w:rsid w:val="0076050B"/>
    <w:rsid w:val="00761051"/>
    <w:rsid w:val="00764838"/>
    <w:rsid w:val="0078698D"/>
    <w:rsid w:val="007C2BF5"/>
    <w:rsid w:val="007D41BC"/>
    <w:rsid w:val="007D6931"/>
    <w:rsid w:val="007E0081"/>
    <w:rsid w:val="007F5226"/>
    <w:rsid w:val="00802C6C"/>
    <w:rsid w:val="00810647"/>
    <w:rsid w:val="00847F5B"/>
    <w:rsid w:val="008539CE"/>
    <w:rsid w:val="008629AF"/>
    <w:rsid w:val="00881CDC"/>
    <w:rsid w:val="00893EDF"/>
    <w:rsid w:val="008B42D0"/>
    <w:rsid w:val="008D6568"/>
    <w:rsid w:val="008F273E"/>
    <w:rsid w:val="008F4E70"/>
    <w:rsid w:val="009535E5"/>
    <w:rsid w:val="00960239"/>
    <w:rsid w:val="00973E97"/>
    <w:rsid w:val="009B1682"/>
    <w:rsid w:val="00A00706"/>
    <w:rsid w:val="00A60019"/>
    <w:rsid w:val="00A621E0"/>
    <w:rsid w:val="00A63997"/>
    <w:rsid w:val="00A765D0"/>
    <w:rsid w:val="00A82BD9"/>
    <w:rsid w:val="00AA207D"/>
    <w:rsid w:val="00AC61E6"/>
    <w:rsid w:val="00AD1159"/>
    <w:rsid w:val="00AD5FF8"/>
    <w:rsid w:val="00AE695C"/>
    <w:rsid w:val="00B263F2"/>
    <w:rsid w:val="00B81214"/>
    <w:rsid w:val="00B84A7D"/>
    <w:rsid w:val="00B933F2"/>
    <w:rsid w:val="00BA5B78"/>
    <w:rsid w:val="00BE255E"/>
    <w:rsid w:val="00BE26AD"/>
    <w:rsid w:val="00BF3DE9"/>
    <w:rsid w:val="00C012EA"/>
    <w:rsid w:val="00C26CFB"/>
    <w:rsid w:val="00C757BE"/>
    <w:rsid w:val="00C8310B"/>
    <w:rsid w:val="00CB29B1"/>
    <w:rsid w:val="00CB60C9"/>
    <w:rsid w:val="00CC4E45"/>
    <w:rsid w:val="00CE1F8B"/>
    <w:rsid w:val="00D06DE3"/>
    <w:rsid w:val="00D23F61"/>
    <w:rsid w:val="00D31622"/>
    <w:rsid w:val="00D415B7"/>
    <w:rsid w:val="00D450B6"/>
    <w:rsid w:val="00D5162F"/>
    <w:rsid w:val="00D64482"/>
    <w:rsid w:val="00D83E18"/>
    <w:rsid w:val="00D976A5"/>
    <w:rsid w:val="00DB3763"/>
    <w:rsid w:val="00DD6F79"/>
    <w:rsid w:val="00DE30C1"/>
    <w:rsid w:val="00DF317B"/>
    <w:rsid w:val="00DF3367"/>
    <w:rsid w:val="00DF3AFE"/>
    <w:rsid w:val="00E2548B"/>
    <w:rsid w:val="00E33F21"/>
    <w:rsid w:val="00E37190"/>
    <w:rsid w:val="00E4202F"/>
    <w:rsid w:val="00E433CF"/>
    <w:rsid w:val="00E6583C"/>
    <w:rsid w:val="00E81375"/>
    <w:rsid w:val="00E94FB7"/>
    <w:rsid w:val="00EB4269"/>
    <w:rsid w:val="00EE4819"/>
    <w:rsid w:val="00F009F2"/>
    <w:rsid w:val="00F146F9"/>
    <w:rsid w:val="00F33C03"/>
    <w:rsid w:val="00F50E2F"/>
    <w:rsid w:val="00F52576"/>
    <w:rsid w:val="00F70BE7"/>
    <w:rsid w:val="00F8751D"/>
    <w:rsid w:val="05EA2CC9"/>
    <w:rsid w:val="0AA14777"/>
    <w:rsid w:val="0C8600C6"/>
    <w:rsid w:val="0F864A1C"/>
    <w:rsid w:val="10EE22B4"/>
    <w:rsid w:val="141A5595"/>
    <w:rsid w:val="15342524"/>
    <w:rsid w:val="17F300B1"/>
    <w:rsid w:val="18094237"/>
    <w:rsid w:val="1CFF2B6D"/>
    <w:rsid w:val="204C6076"/>
    <w:rsid w:val="21CC46BE"/>
    <w:rsid w:val="24CC104C"/>
    <w:rsid w:val="2D872FEC"/>
    <w:rsid w:val="317401B0"/>
    <w:rsid w:val="31DD7521"/>
    <w:rsid w:val="34A7761F"/>
    <w:rsid w:val="3A675E0D"/>
    <w:rsid w:val="3CD64547"/>
    <w:rsid w:val="3F4D5267"/>
    <w:rsid w:val="403975CB"/>
    <w:rsid w:val="46453A58"/>
    <w:rsid w:val="49D16460"/>
    <w:rsid w:val="4C301861"/>
    <w:rsid w:val="4C6C6218"/>
    <w:rsid w:val="57F232C4"/>
    <w:rsid w:val="5C6400D7"/>
    <w:rsid w:val="5E841090"/>
    <w:rsid w:val="61221D31"/>
    <w:rsid w:val="68713430"/>
    <w:rsid w:val="725D69C5"/>
    <w:rsid w:val="79AE342C"/>
    <w:rsid w:val="7B607E8C"/>
    <w:rsid w:val="7DBA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qFormat/>
    <w:uiPriority w:val="0"/>
    <w:rPr>
      <w:color w:val="0000FF"/>
      <w:u w:val="single"/>
    </w:rPr>
  </w:style>
  <w:style w:type="paragraph" w:styleId="11">
    <w:name w:val="List Paragraph"/>
    <w:basedOn w:val="1"/>
    <w:qFormat/>
    <w:uiPriority w:val="99"/>
    <w:pPr>
      <w:ind w:firstLine="420" w:firstLineChars="200"/>
    </w:pPr>
  </w:style>
  <w:style w:type="character" w:customStyle="1" w:styleId="12">
    <w:name w:val="font01"/>
    <w:basedOn w:val="7"/>
    <w:qFormat/>
    <w:uiPriority w:val="0"/>
    <w:rPr>
      <w:rFonts w:ascii="方正仿宋_GBK" w:hAnsi="方正仿宋_GBK" w:eastAsia="方正仿宋_GBK" w:cs="方正仿宋_GBK"/>
      <w:b/>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BC049-D8A6-4B68-B6E3-56BE8331BFCC}">
  <ds:schemaRefs/>
</ds:datastoreItem>
</file>

<file path=docProps/app.xml><?xml version="1.0" encoding="utf-8"?>
<Properties xmlns="http://schemas.openxmlformats.org/officeDocument/2006/extended-properties" xmlns:vt="http://schemas.openxmlformats.org/officeDocument/2006/docPropsVTypes">
  <Template>Normal</Template>
  <Pages>12</Pages>
  <Words>4015</Words>
  <Characters>5864</Characters>
  <Lines>22</Lines>
  <Paragraphs>31</Paragraphs>
  <TotalTime>16</TotalTime>
  <ScaleCrop>false</ScaleCrop>
  <LinksUpToDate>false</LinksUpToDate>
  <CharactersWithSpaces>5968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2022-03-17T10:14:00Z</dcterms:created>
  <dc:creator>乐乐乐乐</dc:creator>
  <cp:lastModifiedBy>乐乐乐乐</cp:lastModifiedBy>
  <dcterms:modified xsi:type="dcterms:W3CDTF">2022-05-14T07:49:41Z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4670122DDF4B45AD88B822869E2A449C</vt:lpwstr>
  </property>
  <property fmtid="{D5CDD505-2E9C-101B-9397-08002B2CF9AE}" pid="4" name="commondata">
    <vt:lpwstr>eyJoZGlkIjoiOTcyYmQ4YzIwMTRmY2Q3MWYzNjFkZDk2YjZkNmUwM2QifQ==</vt:lpwstr>
  </property>
</Properties>
</file>