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jc w:val="center"/>
        <w:rPr>
          <w:b/>
          <w:bCs/>
          <w:color w:val="FF0000"/>
          <w:sz w:val="28"/>
          <w:szCs w:val="28"/>
        </w:rPr>
      </w:pPr>
      <w:bookmarkStart w:id="0" w:name="预借票据"/>
      <w:r>
        <w:rPr>
          <w:rFonts w:hint="eastAsia"/>
          <w:b/>
          <w:bCs/>
          <w:color w:val="FF0000"/>
          <w:sz w:val="28"/>
          <w:szCs w:val="28"/>
        </w:rPr>
        <w:t>预借票据</w:t>
      </w:r>
      <w:bookmarkEnd w:id="0"/>
    </w:p>
    <w:p>
      <w:pPr>
        <w:tabs>
          <w:tab w:val="left" w:pos="312"/>
        </w:tabs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1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预借票据申请流程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学校O</w:t>
      </w:r>
      <w:r>
        <w:rPr>
          <w:rFonts w:asciiTheme="minorEastAsia" w:hAnsiTheme="minorEastAsia"/>
          <w:sz w:val="24"/>
        </w:rPr>
        <w:t>A</w:t>
      </w:r>
      <w:r>
        <w:rPr>
          <w:rFonts w:hint="eastAsia" w:asciiTheme="minorEastAsia" w:hAnsiTheme="minorEastAsia"/>
          <w:sz w:val="24"/>
        </w:rPr>
        <w:t>系统—新建流程——财务管理类—填写《泰州学院预借票据审批表》—履行好签批手续后打印（涉及创收的同时填写《泰州学院创收项目收入分成表》）送财务处（预借非税收入票据联系收费会计，预借增值税票据联系综合与预算科）【财务备案号填写向收费会计提交《泰州学院二级单位创收项目说明书》时通知的财务项目编号】。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提醒：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（1）涉及创收项目的，应提供《泰州学院二级单位创收项目说明书》、《泰州学院创收项目收入分成表》、《泰州学院预借票据审批表》。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</w:t>
      </w:r>
      <w:r>
        <w:rPr>
          <w:rFonts w:asciiTheme="minorEastAsia" w:hAnsiTheme="minorEastAsia"/>
          <w:sz w:val="24"/>
        </w:rPr>
        <w:t>2</w:t>
      </w:r>
      <w:r>
        <w:rPr>
          <w:rFonts w:hint="eastAsia" w:asciiTheme="minorEastAsia" w:hAnsiTheme="minorEastAsia"/>
          <w:sz w:val="24"/>
        </w:rPr>
        <w:t>）提交《泰州学院预借票据审批表》，应领取《泰州学院预借票据》回执。</w:t>
      </w:r>
    </w:p>
    <w:p>
      <w:pPr>
        <w:tabs>
          <w:tab w:val="left" w:pos="312"/>
        </w:tabs>
        <w:ind w:firstLine="210" w:firstLineChars="100"/>
      </w:pPr>
    </w:p>
    <w:p>
      <w:pPr>
        <w:tabs>
          <w:tab w:val="left" w:pos="312"/>
        </w:tabs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b/>
          <w:bCs/>
          <w:color w:val="FF0000"/>
          <w:sz w:val="28"/>
          <w:szCs w:val="28"/>
        </w:rPr>
        <w:t>.</w:t>
      </w:r>
      <w:r>
        <w:rPr>
          <w:rFonts w:hint="eastAsia"/>
          <w:b/>
          <w:bCs/>
          <w:color w:val="FF0000"/>
          <w:sz w:val="28"/>
          <w:szCs w:val="28"/>
        </w:rPr>
        <w:t>预借票据财务要件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泰州学院预借票据审批表   （OA流程）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合同或协议</w:t>
      </w:r>
    </w:p>
    <w:p>
      <w:pPr>
        <w:tabs>
          <w:tab w:val="left" w:pos="312"/>
        </w:tabs>
        <w:spacing w:line="360" w:lineRule="auto"/>
        <w:ind w:firstLine="281" w:firstLineChars="100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涉及新增创收项目的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需</w:t>
      </w:r>
      <w:r>
        <w:rPr>
          <w:rFonts w:hint="eastAsia"/>
          <w:b/>
          <w:bCs/>
          <w:color w:val="FF0000"/>
          <w:sz w:val="28"/>
          <w:szCs w:val="28"/>
        </w:rPr>
        <w:t>提供：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泰州学院二级单位创收项目说明书（OA流程）</w:t>
      </w:r>
      <w:bookmarkStart w:id="1" w:name="_GoBack"/>
      <w:bookmarkEnd w:id="1"/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泰州学院创收项目收入分成表（OA流程）</w:t>
      </w:r>
    </w:p>
    <w:p>
      <w:pPr>
        <w:tabs>
          <w:tab w:val="left" w:pos="312"/>
        </w:tabs>
        <w:spacing w:line="360" w:lineRule="auto"/>
        <w:ind w:firstLine="281" w:firstLineChars="100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涉及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已有</w:t>
      </w:r>
      <w:r>
        <w:rPr>
          <w:rFonts w:hint="eastAsia"/>
          <w:b/>
          <w:bCs/>
          <w:color w:val="FF0000"/>
          <w:sz w:val="28"/>
          <w:szCs w:val="28"/>
        </w:rPr>
        <w:t>创收项目的需提供：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sym w:font="Wingdings 2" w:char="00A3"/>
      </w:r>
      <w:r>
        <w:rPr>
          <w:rFonts w:hint="eastAsia" w:asciiTheme="minorEastAsia" w:hAnsiTheme="minorEastAsia"/>
          <w:sz w:val="24"/>
        </w:rPr>
        <w:t xml:space="preserve"> 泰州学院创收项目收入分成表（OA流程）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说明：经办人提交“泰州学院预借票据审批表”开具票据时应从财务处领取“预借票据回单”，供二级单位预缴票据管理使用。</w:t>
      </w: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spacing w:line="360" w:lineRule="auto"/>
        <w:ind w:firstLine="720" w:firstLineChars="300"/>
        <w:rPr>
          <w:rFonts w:hint="eastAsia" w:asciiTheme="minorEastAsia" w:hAnsiTheme="minorEastAsia"/>
          <w:sz w:val="24"/>
        </w:rPr>
      </w:pPr>
    </w:p>
    <w:p>
      <w:pPr>
        <w:tabs>
          <w:tab w:val="left" w:pos="312"/>
        </w:tabs>
        <w:ind w:firstLine="210" w:firstLineChars="100"/>
      </w:pPr>
    </w:p>
    <w:p>
      <w:pPr>
        <w:tabs>
          <w:tab w:val="left" w:pos="312"/>
        </w:tabs>
        <w:spacing w:line="360" w:lineRule="auto"/>
        <w:ind w:firstLine="281" w:firstLineChars="100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xNThiYmE0NWRjMzYzYWQ5OGQ2MmZjYjQxOGE1MWYifQ=="/>
  </w:docVars>
  <w:rsids>
    <w:rsidRoot w:val="141A5595"/>
    <w:rsid w:val="00006B79"/>
    <w:rsid w:val="00012BEC"/>
    <w:rsid w:val="00021F9D"/>
    <w:rsid w:val="00030078"/>
    <w:rsid w:val="00042CD2"/>
    <w:rsid w:val="00056AC5"/>
    <w:rsid w:val="00090F9E"/>
    <w:rsid w:val="000A157A"/>
    <w:rsid w:val="0018263E"/>
    <w:rsid w:val="00194DD2"/>
    <w:rsid w:val="001A320F"/>
    <w:rsid w:val="001B05F2"/>
    <w:rsid w:val="001E5793"/>
    <w:rsid w:val="00207870"/>
    <w:rsid w:val="002172D1"/>
    <w:rsid w:val="0024607E"/>
    <w:rsid w:val="00260266"/>
    <w:rsid w:val="0026185B"/>
    <w:rsid w:val="002632DC"/>
    <w:rsid w:val="00265165"/>
    <w:rsid w:val="00277287"/>
    <w:rsid w:val="00290512"/>
    <w:rsid w:val="002C5EF1"/>
    <w:rsid w:val="00314568"/>
    <w:rsid w:val="00330E79"/>
    <w:rsid w:val="003320D5"/>
    <w:rsid w:val="003347C4"/>
    <w:rsid w:val="00346D80"/>
    <w:rsid w:val="00353657"/>
    <w:rsid w:val="00367935"/>
    <w:rsid w:val="003D7C50"/>
    <w:rsid w:val="003F2ADC"/>
    <w:rsid w:val="003F333C"/>
    <w:rsid w:val="00401ECA"/>
    <w:rsid w:val="00413711"/>
    <w:rsid w:val="0041737E"/>
    <w:rsid w:val="0045296E"/>
    <w:rsid w:val="004B5659"/>
    <w:rsid w:val="004C59E7"/>
    <w:rsid w:val="00514713"/>
    <w:rsid w:val="00542E0A"/>
    <w:rsid w:val="00561AA2"/>
    <w:rsid w:val="00562E4A"/>
    <w:rsid w:val="005958BA"/>
    <w:rsid w:val="005A54C8"/>
    <w:rsid w:val="005C62A3"/>
    <w:rsid w:val="00603EED"/>
    <w:rsid w:val="00631E9B"/>
    <w:rsid w:val="006432AD"/>
    <w:rsid w:val="00652BCB"/>
    <w:rsid w:val="00667D45"/>
    <w:rsid w:val="00673E6A"/>
    <w:rsid w:val="006740A4"/>
    <w:rsid w:val="006974FA"/>
    <w:rsid w:val="006B3727"/>
    <w:rsid w:val="006C0343"/>
    <w:rsid w:val="006C1423"/>
    <w:rsid w:val="00712C2A"/>
    <w:rsid w:val="007252B7"/>
    <w:rsid w:val="00746678"/>
    <w:rsid w:val="00750A60"/>
    <w:rsid w:val="007602F3"/>
    <w:rsid w:val="0076050B"/>
    <w:rsid w:val="00761051"/>
    <w:rsid w:val="00764838"/>
    <w:rsid w:val="0078698D"/>
    <w:rsid w:val="007C2BF5"/>
    <w:rsid w:val="007D41BC"/>
    <w:rsid w:val="007D6931"/>
    <w:rsid w:val="007E0081"/>
    <w:rsid w:val="007F5226"/>
    <w:rsid w:val="00802C6C"/>
    <w:rsid w:val="00810647"/>
    <w:rsid w:val="00847F5B"/>
    <w:rsid w:val="008539CE"/>
    <w:rsid w:val="008629AF"/>
    <w:rsid w:val="00881CDC"/>
    <w:rsid w:val="00893EDF"/>
    <w:rsid w:val="008B42D0"/>
    <w:rsid w:val="008D6568"/>
    <w:rsid w:val="008F273E"/>
    <w:rsid w:val="008F4E70"/>
    <w:rsid w:val="009535E5"/>
    <w:rsid w:val="00960239"/>
    <w:rsid w:val="00973E97"/>
    <w:rsid w:val="009B1682"/>
    <w:rsid w:val="00A00706"/>
    <w:rsid w:val="00A60019"/>
    <w:rsid w:val="00A621E0"/>
    <w:rsid w:val="00A63997"/>
    <w:rsid w:val="00A765D0"/>
    <w:rsid w:val="00A82BD9"/>
    <w:rsid w:val="00AA207D"/>
    <w:rsid w:val="00AC61E6"/>
    <w:rsid w:val="00AD1159"/>
    <w:rsid w:val="00AD5FF8"/>
    <w:rsid w:val="00AE695C"/>
    <w:rsid w:val="00B263F2"/>
    <w:rsid w:val="00B81214"/>
    <w:rsid w:val="00B84A7D"/>
    <w:rsid w:val="00B933F2"/>
    <w:rsid w:val="00BA5B78"/>
    <w:rsid w:val="00BE255E"/>
    <w:rsid w:val="00BE26AD"/>
    <w:rsid w:val="00BF3DE9"/>
    <w:rsid w:val="00C012EA"/>
    <w:rsid w:val="00C26CFB"/>
    <w:rsid w:val="00C757BE"/>
    <w:rsid w:val="00C8310B"/>
    <w:rsid w:val="00CB29B1"/>
    <w:rsid w:val="00CB60C9"/>
    <w:rsid w:val="00CC4E45"/>
    <w:rsid w:val="00CE1F8B"/>
    <w:rsid w:val="00D06DE3"/>
    <w:rsid w:val="00D23F61"/>
    <w:rsid w:val="00D31622"/>
    <w:rsid w:val="00D415B7"/>
    <w:rsid w:val="00D450B6"/>
    <w:rsid w:val="00D5162F"/>
    <w:rsid w:val="00D64482"/>
    <w:rsid w:val="00D83E18"/>
    <w:rsid w:val="00D976A5"/>
    <w:rsid w:val="00DB3763"/>
    <w:rsid w:val="00DD6F79"/>
    <w:rsid w:val="00DE30C1"/>
    <w:rsid w:val="00DF317B"/>
    <w:rsid w:val="00DF3367"/>
    <w:rsid w:val="00DF3AFE"/>
    <w:rsid w:val="00E2548B"/>
    <w:rsid w:val="00E33F21"/>
    <w:rsid w:val="00E37190"/>
    <w:rsid w:val="00E4202F"/>
    <w:rsid w:val="00E433CF"/>
    <w:rsid w:val="00E6583C"/>
    <w:rsid w:val="00E81375"/>
    <w:rsid w:val="00E94FB7"/>
    <w:rsid w:val="00EB4269"/>
    <w:rsid w:val="00EE4819"/>
    <w:rsid w:val="00F009F2"/>
    <w:rsid w:val="00F146F9"/>
    <w:rsid w:val="00F33C03"/>
    <w:rsid w:val="00F50E2F"/>
    <w:rsid w:val="00F52576"/>
    <w:rsid w:val="00F70BE7"/>
    <w:rsid w:val="00F8751D"/>
    <w:rsid w:val="05EA2CC9"/>
    <w:rsid w:val="0AA14777"/>
    <w:rsid w:val="0C8600C6"/>
    <w:rsid w:val="0F864A1C"/>
    <w:rsid w:val="10EE22B4"/>
    <w:rsid w:val="141A5595"/>
    <w:rsid w:val="17F300B1"/>
    <w:rsid w:val="18094237"/>
    <w:rsid w:val="1CFF2B6D"/>
    <w:rsid w:val="204C6076"/>
    <w:rsid w:val="21CC46BE"/>
    <w:rsid w:val="23241759"/>
    <w:rsid w:val="24CC104C"/>
    <w:rsid w:val="2D872FEC"/>
    <w:rsid w:val="317401B0"/>
    <w:rsid w:val="31DD7521"/>
    <w:rsid w:val="34A7761F"/>
    <w:rsid w:val="3A675E0D"/>
    <w:rsid w:val="3CD64547"/>
    <w:rsid w:val="3F4D5267"/>
    <w:rsid w:val="403975CB"/>
    <w:rsid w:val="46453A58"/>
    <w:rsid w:val="4C301861"/>
    <w:rsid w:val="4C6C6218"/>
    <w:rsid w:val="57F232C4"/>
    <w:rsid w:val="5C6400D7"/>
    <w:rsid w:val="5E841090"/>
    <w:rsid w:val="61221D31"/>
    <w:rsid w:val="66455365"/>
    <w:rsid w:val="68713430"/>
    <w:rsid w:val="725D69C5"/>
    <w:rsid w:val="79AE342C"/>
    <w:rsid w:val="7B607E8C"/>
    <w:rsid w:val="7DB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01"/>
    <w:basedOn w:val="7"/>
    <w:qFormat/>
    <w:uiPriority w:val="0"/>
    <w:rPr>
      <w:rFonts w:ascii="方正仿宋_GBK" w:hAnsi="方正仿宋_GBK" w:eastAsia="方正仿宋_GBK" w:cs="方正仿宋_GBK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EBC049-D8A6-4B68-B6E3-56BE8331BF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442</Characters>
  <Lines>22</Lines>
  <Paragraphs>31</Paragraphs>
  <TotalTime>12</TotalTime>
  <ScaleCrop>false</ScaleCrop>
  <LinksUpToDate>false</LinksUpToDate>
  <CharactersWithSpaces>450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2022-03-17T10:14:00Z</dcterms:created>
  <dc:creator>乐乐乐乐</dc:creator>
  <cp:lastModifiedBy>乐乐乐乐</cp:lastModifiedBy>
  <dcterms:modified xsi:type="dcterms:W3CDTF">2022-05-14T07:50:18Z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4670122DDF4B45AD88B822869E2A449C</vt:lpwstr>
  </property>
  <property fmtid="{D5CDD505-2E9C-101B-9397-08002B2CF9AE}" pid="4" name="commondata">
    <vt:lpwstr>eyJoZGlkIjoiOTcyYmQ4YzIwMTRmY2Q3MWYzNjFkZDk2YjZkNmUwM2QifQ==</vt:lpwstr>
  </property>
</Properties>
</file>